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FB3" w:rsidRPr="001F0DCE" w:rsidRDefault="0014421F" w:rsidP="004D5FB3">
      <w:pPr>
        <w:spacing w:after="180" w:line="259" w:lineRule="auto"/>
        <w:ind w:left="0" w:firstLine="0"/>
        <w:jc w:val="center"/>
        <w:rPr>
          <w:rFonts w:ascii="Times New Roman" w:hAnsi="Times New Roman" w:cs="Times New Roman"/>
          <w:b/>
          <w:sz w:val="22"/>
          <w:lang w:val="en-GB"/>
        </w:rPr>
      </w:pPr>
      <w:r w:rsidRPr="001F0DCE">
        <w:rPr>
          <w:rFonts w:ascii="Times New Roman" w:hAnsi="Times New Roman" w:cs="Times New Roman"/>
          <w:b/>
          <w:sz w:val="22"/>
          <w:lang w:val="en-GB"/>
        </w:rPr>
        <w:t>Relapse rate after withdrawal of anti-TNF therapy in pati</w:t>
      </w:r>
      <w:r w:rsidR="001A5F20" w:rsidRPr="001F0DCE">
        <w:rPr>
          <w:rFonts w:ascii="Times New Roman" w:hAnsi="Times New Roman" w:cs="Times New Roman"/>
          <w:b/>
          <w:sz w:val="22"/>
          <w:lang w:val="en-GB"/>
        </w:rPr>
        <w:t xml:space="preserve">ents with IBD in deep remission </w:t>
      </w:r>
    </w:p>
    <w:p w:rsidR="00A57FAC" w:rsidRPr="001F0DCE" w:rsidRDefault="001A5F20" w:rsidP="004D5FB3">
      <w:pPr>
        <w:spacing w:after="180" w:line="259" w:lineRule="auto"/>
        <w:ind w:left="0" w:firstLine="0"/>
        <w:jc w:val="center"/>
        <w:rPr>
          <w:rFonts w:ascii="Times New Roman" w:hAnsi="Times New Roman" w:cs="Times New Roman"/>
          <w:sz w:val="22"/>
          <w:lang w:val="en-GB"/>
        </w:rPr>
      </w:pPr>
      <w:r w:rsidRPr="001F0DCE">
        <w:rPr>
          <w:rFonts w:ascii="Times New Roman" w:hAnsi="Times New Roman" w:cs="Times New Roman"/>
          <w:b/>
          <w:sz w:val="22"/>
          <w:lang w:val="en-GB"/>
        </w:rPr>
        <w:t xml:space="preserve">– </w:t>
      </w:r>
      <w:proofErr w:type="gramStart"/>
      <w:r w:rsidRPr="001F0DCE">
        <w:rPr>
          <w:rFonts w:ascii="Times New Roman" w:hAnsi="Times New Roman" w:cs="Times New Roman"/>
          <w:b/>
          <w:sz w:val="22"/>
          <w:lang w:val="en-GB"/>
        </w:rPr>
        <w:t>the</w:t>
      </w:r>
      <w:proofErr w:type="gramEnd"/>
      <w:r w:rsidRPr="001F0DCE">
        <w:rPr>
          <w:rFonts w:ascii="Times New Roman" w:hAnsi="Times New Roman" w:cs="Times New Roman"/>
          <w:b/>
          <w:sz w:val="22"/>
          <w:lang w:val="en-GB"/>
        </w:rPr>
        <w:t xml:space="preserve"> STATIC study</w:t>
      </w:r>
    </w:p>
    <w:p w:rsidR="001F0DCE" w:rsidRPr="001F0DCE" w:rsidRDefault="001F0DCE" w:rsidP="001F0DCE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Theme="minorEastAsia" w:hAnsi="Times New Roman" w:cs="Times New Roman"/>
          <w:color w:val="auto"/>
          <w:sz w:val="22"/>
          <w:lang w:val="en-GB"/>
        </w:rPr>
      </w:pPr>
      <w:r w:rsidRPr="001F0DCE">
        <w:rPr>
          <w:rFonts w:ascii="Times New Roman" w:eastAsiaTheme="minorEastAsia" w:hAnsi="Times New Roman" w:cs="Times New Roman"/>
          <w:color w:val="auto"/>
          <w:sz w:val="22"/>
          <w:lang w:val="en-GB"/>
        </w:rPr>
        <w:t>Daniel Molin</w:t>
      </w:r>
      <w:r w:rsidRPr="001F0DCE">
        <w:rPr>
          <w:rFonts w:ascii="Times New Roman" w:eastAsiaTheme="minorEastAsia" w:hAnsi="Times New Roman" w:cs="Times New Roman"/>
          <w:color w:val="auto"/>
          <w:sz w:val="22"/>
          <w:vertAlign w:val="superscript"/>
          <w:lang w:val="en-GB"/>
        </w:rPr>
        <w:t>1</w:t>
      </w:r>
      <w:proofErr w:type="gramStart"/>
      <w:r w:rsidRPr="001F0DCE">
        <w:rPr>
          <w:rFonts w:ascii="Times New Roman" w:eastAsiaTheme="minorEastAsia" w:hAnsi="Times New Roman" w:cs="Times New Roman"/>
          <w:color w:val="auto"/>
          <w:sz w:val="22"/>
          <w:vertAlign w:val="superscript"/>
          <w:lang w:val="en-GB"/>
        </w:rPr>
        <w:t>,2</w:t>
      </w:r>
      <w:proofErr w:type="gramEnd"/>
      <w:r w:rsidRPr="001F0DCE">
        <w:rPr>
          <w:rFonts w:ascii="Times New Roman" w:eastAsiaTheme="minorEastAsia" w:hAnsi="Times New Roman" w:cs="Times New Roman"/>
          <w:color w:val="auto"/>
          <w:sz w:val="22"/>
          <w:lang w:val="en-GB"/>
        </w:rPr>
        <w:t xml:space="preserve"> </w:t>
      </w:r>
      <w:r w:rsidRPr="001F0DCE">
        <w:rPr>
          <w:rFonts w:ascii="Times New Roman" w:eastAsiaTheme="minorEastAsia" w:hAnsi="Times New Roman" w:cs="Times New Roman"/>
          <w:color w:val="auto"/>
          <w:sz w:val="22"/>
          <w:u w:val="single"/>
          <w:lang w:val="en-GB"/>
        </w:rPr>
        <w:t>Sofie Haglund</w:t>
      </w:r>
      <w:r w:rsidRPr="001F0DCE">
        <w:rPr>
          <w:rFonts w:ascii="Times New Roman" w:eastAsiaTheme="minorEastAsia" w:hAnsi="Times New Roman" w:cs="Times New Roman"/>
          <w:color w:val="auto"/>
          <w:sz w:val="22"/>
          <w:u w:val="single"/>
          <w:vertAlign w:val="superscript"/>
          <w:lang w:val="en-GB"/>
        </w:rPr>
        <w:t>3</w:t>
      </w:r>
      <w:r w:rsidRPr="001F0DCE">
        <w:rPr>
          <w:rFonts w:ascii="Times New Roman" w:eastAsiaTheme="minorEastAsia" w:hAnsi="Times New Roman" w:cs="Times New Roman"/>
          <w:color w:val="auto"/>
          <w:sz w:val="22"/>
          <w:vertAlign w:val="superscript"/>
          <w:lang w:val="en-GB"/>
        </w:rPr>
        <w:t>,4</w:t>
      </w:r>
      <w:r w:rsidRPr="001F0DCE">
        <w:rPr>
          <w:rFonts w:ascii="Times New Roman" w:eastAsiaTheme="minorEastAsia" w:hAnsi="Times New Roman" w:cs="Times New Roman"/>
          <w:color w:val="auto"/>
          <w:sz w:val="22"/>
          <w:lang w:val="en-GB"/>
        </w:rPr>
        <w:t xml:space="preserve"> Charlotte Hedin</w:t>
      </w:r>
      <w:r w:rsidRPr="001F0DCE">
        <w:rPr>
          <w:rFonts w:ascii="Times New Roman" w:eastAsiaTheme="minorEastAsia" w:hAnsi="Times New Roman" w:cs="Times New Roman"/>
          <w:color w:val="auto"/>
          <w:sz w:val="22"/>
          <w:vertAlign w:val="superscript"/>
          <w:lang w:val="en-GB"/>
        </w:rPr>
        <w:t>5,6</w:t>
      </w:r>
      <w:r w:rsidRPr="001F0DCE">
        <w:rPr>
          <w:rFonts w:ascii="Times New Roman" w:eastAsiaTheme="minorEastAsia" w:hAnsi="Times New Roman" w:cs="Times New Roman"/>
          <w:color w:val="auto"/>
          <w:sz w:val="22"/>
          <w:lang w:val="en-GB"/>
        </w:rPr>
        <w:t xml:space="preserve"> Henrik Hjortswang</w:t>
      </w:r>
      <w:r w:rsidRPr="001F0DCE">
        <w:rPr>
          <w:rFonts w:ascii="Times New Roman" w:eastAsiaTheme="minorEastAsia" w:hAnsi="Times New Roman" w:cs="Times New Roman"/>
          <w:color w:val="auto"/>
          <w:sz w:val="22"/>
          <w:vertAlign w:val="superscript"/>
          <w:lang w:val="en-GB"/>
        </w:rPr>
        <w:t>7</w:t>
      </w:r>
      <w:r w:rsidRPr="001F0DCE">
        <w:rPr>
          <w:rFonts w:ascii="Times New Roman" w:eastAsiaTheme="minorEastAsia" w:hAnsi="Times New Roman" w:cs="Times New Roman"/>
          <w:color w:val="auto"/>
          <w:sz w:val="22"/>
          <w:lang w:val="en-GB"/>
        </w:rPr>
        <w:t>, Erik Hertervig</w:t>
      </w:r>
      <w:r w:rsidRPr="001F0DCE">
        <w:rPr>
          <w:rFonts w:ascii="Times New Roman" w:eastAsiaTheme="minorEastAsia" w:hAnsi="Times New Roman" w:cs="Times New Roman"/>
          <w:color w:val="auto"/>
          <w:sz w:val="22"/>
          <w:vertAlign w:val="superscript"/>
          <w:lang w:val="en-GB"/>
        </w:rPr>
        <w:t>2,8</w:t>
      </w:r>
      <w:r w:rsidRPr="001F0DCE">
        <w:rPr>
          <w:rFonts w:ascii="Times New Roman" w:eastAsiaTheme="minorEastAsia" w:hAnsi="Times New Roman" w:cs="Times New Roman"/>
          <w:color w:val="auto"/>
          <w:sz w:val="22"/>
          <w:lang w:val="en-GB"/>
        </w:rPr>
        <w:t>, Sven Almer</w:t>
      </w:r>
      <w:r w:rsidRPr="001F0DCE">
        <w:rPr>
          <w:rFonts w:ascii="Times New Roman" w:eastAsiaTheme="minorEastAsia" w:hAnsi="Times New Roman" w:cs="Times New Roman"/>
          <w:color w:val="auto"/>
          <w:sz w:val="22"/>
          <w:vertAlign w:val="superscript"/>
          <w:lang w:val="en-GB"/>
        </w:rPr>
        <w:t>5,6</w:t>
      </w:r>
      <w:r w:rsidRPr="001F0DCE">
        <w:rPr>
          <w:rFonts w:ascii="Times New Roman" w:eastAsiaTheme="minorEastAsia" w:hAnsi="Times New Roman" w:cs="Times New Roman"/>
          <w:color w:val="auto"/>
          <w:sz w:val="22"/>
          <w:lang w:val="en-GB"/>
        </w:rPr>
        <w:t>, Jan Marsal</w:t>
      </w:r>
      <w:r w:rsidRPr="001F0DCE">
        <w:rPr>
          <w:rFonts w:ascii="Times New Roman" w:eastAsiaTheme="minorEastAsia" w:hAnsi="Times New Roman" w:cs="Times New Roman"/>
          <w:color w:val="auto"/>
          <w:sz w:val="22"/>
          <w:vertAlign w:val="superscript"/>
          <w:lang w:val="en-GB"/>
        </w:rPr>
        <w:t>8,9</w:t>
      </w:r>
    </w:p>
    <w:p w:rsidR="0014421F" w:rsidRPr="001F0DCE" w:rsidRDefault="0014421F" w:rsidP="0014421F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Theme="minorEastAsia" w:hAnsi="Times New Roman" w:cs="Times New Roman"/>
          <w:color w:val="auto"/>
          <w:sz w:val="22"/>
          <w:lang w:val="en-GB"/>
        </w:rPr>
      </w:pPr>
    </w:p>
    <w:p w:rsidR="001F0DCE" w:rsidRPr="001F0DCE" w:rsidRDefault="001F0DCE" w:rsidP="001F0DCE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Theme="minorEastAsia" w:hAnsi="Times New Roman" w:cs="Times New Roman"/>
          <w:color w:val="auto"/>
          <w:sz w:val="22"/>
          <w:lang w:val="en-GB"/>
        </w:rPr>
      </w:pPr>
      <w:r w:rsidRPr="001F0DCE">
        <w:rPr>
          <w:rFonts w:ascii="Times New Roman" w:eastAsiaTheme="minorEastAsia" w:hAnsi="Times New Roman" w:cs="Times New Roman"/>
          <w:color w:val="auto"/>
          <w:sz w:val="22"/>
          <w:vertAlign w:val="superscript"/>
          <w:lang w:val="en-US"/>
        </w:rPr>
        <w:t>1</w:t>
      </w:r>
      <w:r w:rsidRPr="001F0DCE">
        <w:rPr>
          <w:rFonts w:ascii="Times New Roman" w:eastAsiaTheme="minorEastAsia" w:hAnsi="Times New Roman" w:cs="Times New Roman"/>
          <w:color w:val="auto"/>
          <w:sz w:val="22"/>
          <w:lang w:val="en-US"/>
        </w:rPr>
        <w:t xml:space="preserve"> Department of Medicine, Central Hospital Kristianstad, </w:t>
      </w:r>
      <w:r w:rsidRPr="001F0DCE">
        <w:rPr>
          <w:rFonts w:ascii="Times New Roman" w:eastAsiaTheme="minorEastAsia" w:hAnsi="Times New Roman" w:cs="Times New Roman"/>
          <w:color w:val="auto"/>
          <w:sz w:val="22"/>
          <w:vertAlign w:val="superscript"/>
          <w:lang w:val="en-US"/>
        </w:rPr>
        <w:t>2</w:t>
      </w:r>
      <w:r w:rsidRPr="001F0DCE">
        <w:rPr>
          <w:rFonts w:ascii="Times New Roman" w:eastAsiaTheme="minorEastAsia" w:hAnsi="Times New Roman" w:cs="Times New Roman"/>
          <w:color w:val="auto"/>
          <w:sz w:val="22"/>
          <w:lang w:val="en-US"/>
        </w:rPr>
        <w:t xml:space="preserve"> Section of Medicine, Department of Clinical Sciences, Lund University, Lund, </w:t>
      </w:r>
      <w:r w:rsidRPr="001F0DCE">
        <w:rPr>
          <w:rFonts w:ascii="Times New Roman" w:eastAsiaTheme="minorEastAsia" w:hAnsi="Times New Roman" w:cs="Times New Roman"/>
          <w:color w:val="auto"/>
          <w:sz w:val="22"/>
          <w:vertAlign w:val="superscript"/>
          <w:lang w:val="en-US"/>
        </w:rPr>
        <w:t>3</w:t>
      </w:r>
      <w:r w:rsidRPr="001F0DCE">
        <w:rPr>
          <w:rFonts w:ascii="Times New Roman" w:eastAsiaTheme="minorEastAsia" w:hAnsi="Times New Roman" w:cs="Times New Roman"/>
          <w:color w:val="auto"/>
          <w:sz w:val="22"/>
          <w:lang w:val="en-US"/>
        </w:rPr>
        <w:t xml:space="preserve"> Department of Laboratory Medicine, Region Jönköping County, Jönköping, </w:t>
      </w:r>
      <w:r w:rsidRPr="001F0DCE">
        <w:rPr>
          <w:rFonts w:ascii="Times New Roman" w:eastAsiaTheme="minorEastAsia" w:hAnsi="Times New Roman" w:cs="Times New Roman"/>
          <w:color w:val="auto"/>
          <w:sz w:val="22"/>
          <w:vertAlign w:val="superscript"/>
          <w:lang w:val="en-US"/>
        </w:rPr>
        <w:t>4</w:t>
      </w:r>
      <w:r w:rsidRPr="001F0DCE">
        <w:rPr>
          <w:rFonts w:ascii="Times New Roman" w:eastAsiaTheme="minorEastAsia" w:hAnsi="Times New Roman" w:cs="Times New Roman"/>
          <w:color w:val="auto"/>
          <w:sz w:val="22"/>
          <w:lang w:val="en-US"/>
        </w:rPr>
        <w:t xml:space="preserve"> Department of Biomedical and Clinical Sciences, Linköping University, Linköping, </w:t>
      </w:r>
      <w:r w:rsidRPr="001F0DCE">
        <w:rPr>
          <w:rFonts w:ascii="Times New Roman" w:eastAsiaTheme="minorEastAsia" w:hAnsi="Times New Roman" w:cs="Times New Roman"/>
          <w:color w:val="auto"/>
          <w:sz w:val="22"/>
          <w:vertAlign w:val="superscript"/>
          <w:lang w:val="en-US"/>
        </w:rPr>
        <w:t>5</w:t>
      </w:r>
      <w:r w:rsidRPr="001F0DCE">
        <w:rPr>
          <w:rFonts w:ascii="Times New Roman" w:eastAsiaTheme="minorEastAsia" w:hAnsi="Times New Roman" w:cs="Times New Roman"/>
          <w:color w:val="auto"/>
          <w:sz w:val="22"/>
          <w:lang w:val="en-US"/>
        </w:rPr>
        <w:t xml:space="preserve"> </w:t>
      </w:r>
      <w:proofErr w:type="spellStart"/>
      <w:r w:rsidRPr="001F0DCE">
        <w:rPr>
          <w:rFonts w:ascii="Times New Roman" w:eastAsiaTheme="minorEastAsia" w:hAnsi="Times New Roman" w:cs="Times New Roman"/>
          <w:color w:val="auto"/>
          <w:sz w:val="22"/>
          <w:lang w:val="en-US"/>
        </w:rPr>
        <w:t>Karolinska</w:t>
      </w:r>
      <w:proofErr w:type="spellEnd"/>
      <w:r w:rsidRPr="001F0DCE">
        <w:rPr>
          <w:rFonts w:ascii="Times New Roman" w:eastAsiaTheme="minorEastAsia" w:hAnsi="Times New Roman" w:cs="Times New Roman"/>
          <w:color w:val="auto"/>
          <w:sz w:val="22"/>
          <w:lang w:val="en-US"/>
        </w:rPr>
        <w:t xml:space="preserve"> University Hospital, Centre for Digestive Health, Department of Gastroenterology, </w:t>
      </w:r>
      <w:proofErr w:type="spellStart"/>
      <w:r w:rsidRPr="001F0DCE">
        <w:rPr>
          <w:rFonts w:ascii="Times New Roman" w:eastAsiaTheme="minorEastAsia" w:hAnsi="Times New Roman" w:cs="Times New Roman"/>
          <w:color w:val="auto"/>
          <w:sz w:val="22"/>
          <w:lang w:val="en-GB"/>
        </w:rPr>
        <w:t>Dermatovenereology</w:t>
      </w:r>
      <w:proofErr w:type="spellEnd"/>
      <w:r w:rsidRPr="001F0DCE">
        <w:rPr>
          <w:rFonts w:ascii="Times New Roman" w:eastAsiaTheme="minorEastAsia" w:hAnsi="Times New Roman" w:cs="Times New Roman"/>
          <w:color w:val="auto"/>
          <w:sz w:val="22"/>
          <w:lang w:val="en-GB"/>
        </w:rPr>
        <w:t xml:space="preserve"> and Rheumatology, Stockholm, </w:t>
      </w:r>
      <w:r w:rsidRPr="001F0DCE">
        <w:rPr>
          <w:rFonts w:ascii="Times New Roman" w:eastAsiaTheme="minorEastAsia" w:hAnsi="Times New Roman" w:cs="Times New Roman"/>
          <w:color w:val="auto"/>
          <w:sz w:val="22"/>
          <w:vertAlign w:val="superscript"/>
          <w:lang w:val="en-GB"/>
        </w:rPr>
        <w:t>6</w:t>
      </w:r>
      <w:r w:rsidRPr="001F0DCE">
        <w:rPr>
          <w:rFonts w:ascii="Times New Roman" w:eastAsiaTheme="minorEastAsia" w:hAnsi="Times New Roman" w:cs="Times New Roman"/>
          <w:color w:val="auto"/>
          <w:sz w:val="22"/>
          <w:lang w:val="en-GB"/>
        </w:rPr>
        <w:t xml:space="preserve"> </w:t>
      </w:r>
      <w:proofErr w:type="spellStart"/>
      <w:r w:rsidRPr="001F0DCE">
        <w:rPr>
          <w:rFonts w:ascii="Times New Roman" w:eastAsiaTheme="minorEastAsia" w:hAnsi="Times New Roman" w:cs="Times New Roman"/>
          <w:color w:val="auto"/>
          <w:sz w:val="22"/>
          <w:lang w:val="en-GB"/>
        </w:rPr>
        <w:t>Karolinska</w:t>
      </w:r>
      <w:proofErr w:type="spellEnd"/>
      <w:r w:rsidRPr="001F0DCE">
        <w:rPr>
          <w:rFonts w:ascii="Times New Roman" w:eastAsiaTheme="minorEastAsia" w:hAnsi="Times New Roman" w:cs="Times New Roman"/>
          <w:color w:val="auto"/>
          <w:sz w:val="22"/>
          <w:lang w:val="en-GB"/>
        </w:rPr>
        <w:t xml:space="preserve"> </w:t>
      </w:r>
      <w:proofErr w:type="spellStart"/>
      <w:r w:rsidRPr="001F0DCE">
        <w:rPr>
          <w:rFonts w:ascii="Times New Roman" w:eastAsiaTheme="minorEastAsia" w:hAnsi="Times New Roman" w:cs="Times New Roman"/>
          <w:color w:val="auto"/>
          <w:sz w:val="22"/>
          <w:lang w:val="en-GB"/>
        </w:rPr>
        <w:t>Institutet</w:t>
      </w:r>
      <w:proofErr w:type="spellEnd"/>
      <w:r w:rsidRPr="001F0DCE">
        <w:rPr>
          <w:rFonts w:ascii="Times New Roman" w:eastAsiaTheme="minorEastAsia" w:hAnsi="Times New Roman" w:cs="Times New Roman"/>
          <w:color w:val="auto"/>
          <w:sz w:val="22"/>
          <w:lang w:val="en-GB"/>
        </w:rPr>
        <w:t xml:space="preserve">, Department of Medicine </w:t>
      </w:r>
      <w:proofErr w:type="spellStart"/>
      <w:r w:rsidRPr="001F0DCE">
        <w:rPr>
          <w:rFonts w:ascii="Times New Roman" w:eastAsiaTheme="minorEastAsia" w:hAnsi="Times New Roman" w:cs="Times New Roman"/>
          <w:color w:val="auto"/>
          <w:sz w:val="22"/>
          <w:lang w:val="en-GB"/>
        </w:rPr>
        <w:t>Solna</w:t>
      </w:r>
      <w:proofErr w:type="spellEnd"/>
      <w:r w:rsidRPr="001F0DCE">
        <w:rPr>
          <w:rFonts w:ascii="Times New Roman" w:eastAsiaTheme="minorEastAsia" w:hAnsi="Times New Roman" w:cs="Times New Roman"/>
          <w:color w:val="auto"/>
          <w:sz w:val="22"/>
          <w:lang w:val="en-GB"/>
        </w:rPr>
        <w:t>, Stockholm,</w:t>
      </w:r>
      <w:r w:rsidRPr="001F0DCE">
        <w:rPr>
          <w:rFonts w:ascii="Times New Roman" w:eastAsiaTheme="minorEastAsia" w:hAnsi="Times New Roman" w:cs="Times New Roman"/>
          <w:color w:val="auto"/>
          <w:sz w:val="22"/>
          <w:vertAlign w:val="superscript"/>
          <w:lang w:val="en-GB"/>
        </w:rPr>
        <w:t xml:space="preserve"> </w:t>
      </w:r>
      <w:r w:rsidRPr="001F0DCE">
        <w:rPr>
          <w:rFonts w:ascii="Times New Roman" w:eastAsiaTheme="minorEastAsia" w:hAnsi="Times New Roman" w:cs="Times New Roman"/>
          <w:color w:val="auto"/>
          <w:sz w:val="22"/>
          <w:vertAlign w:val="superscript"/>
          <w:lang w:val="en-US"/>
        </w:rPr>
        <w:t xml:space="preserve">7 </w:t>
      </w:r>
      <w:r w:rsidRPr="001F0DCE">
        <w:rPr>
          <w:rFonts w:ascii="Times New Roman" w:eastAsiaTheme="minorEastAsia" w:hAnsi="Times New Roman" w:cs="Times New Roman"/>
          <w:color w:val="auto"/>
          <w:sz w:val="22"/>
          <w:lang w:val="en-US"/>
        </w:rPr>
        <w:t xml:space="preserve">Department of Health, Medicine and Caring Sciences Linköping University Linköping, </w:t>
      </w:r>
      <w:r w:rsidRPr="001F0DCE">
        <w:rPr>
          <w:rFonts w:ascii="Times New Roman" w:eastAsiaTheme="minorEastAsia" w:hAnsi="Times New Roman" w:cs="Times New Roman"/>
          <w:color w:val="auto"/>
          <w:sz w:val="22"/>
          <w:vertAlign w:val="superscript"/>
          <w:lang w:val="en-US"/>
        </w:rPr>
        <w:t>8</w:t>
      </w:r>
      <w:r w:rsidRPr="001F0DCE">
        <w:rPr>
          <w:rFonts w:ascii="Times New Roman" w:eastAsiaTheme="minorEastAsia" w:hAnsi="Times New Roman" w:cs="Times New Roman"/>
          <w:color w:val="auto"/>
          <w:sz w:val="22"/>
          <w:lang w:val="en-US"/>
        </w:rPr>
        <w:t xml:space="preserve"> Dep</w:t>
      </w:r>
      <w:r>
        <w:rPr>
          <w:rFonts w:ascii="Times New Roman" w:eastAsiaTheme="minorEastAsia" w:hAnsi="Times New Roman" w:cs="Times New Roman"/>
          <w:color w:val="auto"/>
          <w:sz w:val="22"/>
          <w:lang w:val="en-US"/>
        </w:rPr>
        <w:t xml:space="preserve">artment of Gastroenterology, </w:t>
      </w:r>
      <w:proofErr w:type="spellStart"/>
      <w:r>
        <w:rPr>
          <w:rFonts w:ascii="Times New Roman" w:eastAsiaTheme="minorEastAsia" w:hAnsi="Times New Roman" w:cs="Times New Roman"/>
          <w:color w:val="auto"/>
          <w:sz w:val="22"/>
          <w:lang w:val="en-US"/>
        </w:rPr>
        <w:t>Skå</w:t>
      </w:r>
      <w:r w:rsidRPr="001F0DCE">
        <w:rPr>
          <w:rFonts w:ascii="Times New Roman" w:eastAsiaTheme="minorEastAsia" w:hAnsi="Times New Roman" w:cs="Times New Roman"/>
          <w:color w:val="auto"/>
          <w:sz w:val="22"/>
          <w:lang w:val="en-US"/>
        </w:rPr>
        <w:t>ne</w:t>
      </w:r>
      <w:proofErr w:type="spellEnd"/>
      <w:r w:rsidRPr="001F0DCE">
        <w:rPr>
          <w:rFonts w:ascii="Times New Roman" w:eastAsiaTheme="minorEastAsia" w:hAnsi="Times New Roman" w:cs="Times New Roman"/>
          <w:color w:val="auto"/>
          <w:sz w:val="22"/>
          <w:lang w:val="en-US"/>
        </w:rPr>
        <w:t xml:space="preserve"> University Hospital, Lund/Malmö, </w:t>
      </w:r>
      <w:r w:rsidRPr="001F0DCE">
        <w:rPr>
          <w:rFonts w:ascii="Times New Roman" w:eastAsiaTheme="minorEastAsia" w:hAnsi="Times New Roman" w:cs="Times New Roman"/>
          <w:color w:val="auto"/>
          <w:sz w:val="22"/>
          <w:vertAlign w:val="superscript"/>
          <w:lang w:val="en-US"/>
        </w:rPr>
        <w:t xml:space="preserve">9 </w:t>
      </w:r>
      <w:r w:rsidRPr="001F0DCE">
        <w:rPr>
          <w:rFonts w:ascii="Times New Roman" w:eastAsiaTheme="minorEastAsia" w:hAnsi="Times New Roman" w:cs="Times New Roman"/>
          <w:color w:val="auto"/>
          <w:sz w:val="22"/>
          <w:lang w:val="en-US"/>
        </w:rPr>
        <w:t xml:space="preserve">Section of Immunology Section, Department of Experimental Medical Science, Lund University, Lund, </w:t>
      </w:r>
      <w:r w:rsidRPr="001F0DCE">
        <w:rPr>
          <w:rFonts w:ascii="Times New Roman" w:eastAsiaTheme="minorEastAsia" w:hAnsi="Times New Roman" w:cs="Times New Roman"/>
          <w:color w:val="auto"/>
          <w:sz w:val="22"/>
          <w:lang w:val="en-GB"/>
        </w:rPr>
        <w:t>Sweden</w:t>
      </w:r>
    </w:p>
    <w:p w:rsidR="004D5FB3" w:rsidRPr="00E62F01" w:rsidRDefault="004D5FB3" w:rsidP="0014421F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Theme="minorEastAsia" w:hAnsi="Times New Roman" w:cs="Times New Roman"/>
          <w:color w:val="auto"/>
          <w:sz w:val="22"/>
          <w:lang w:val="en-GB"/>
        </w:rPr>
      </w:pPr>
    </w:p>
    <w:p w:rsidR="0014421F" w:rsidRPr="00E62F01" w:rsidRDefault="0014421F" w:rsidP="0014421F">
      <w:pPr>
        <w:ind w:left="0" w:firstLine="0"/>
        <w:rPr>
          <w:rFonts w:ascii="Times New Roman" w:hAnsi="Times New Roman" w:cs="Times New Roman"/>
          <w:sz w:val="24"/>
          <w:szCs w:val="24"/>
          <w:lang w:val="en-GB"/>
        </w:rPr>
      </w:pPr>
    </w:p>
    <w:p w:rsidR="005A49B1" w:rsidRPr="00D87D53" w:rsidRDefault="005A49B1" w:rsidP="005A49B1">
      <w:pPr>
        <w:ind w:left="0" w:firstLine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D87D53">
        <w:rPr>
          <w:rFonts w:ascii="Times New Roman" w:hAnsi="Times New Roman" w:cs="Times New Roman"/>
          <w:b/>
          <w:sz w:val="24"/>
          <w:szCs w:val="24"/>
          <w:lang w:val="en-GB"/>
        </w:rPr>
        <w:t>Background</w:t>
      </w:r>
      <w:r w:rsidR="00D17D35" w:rsidRPr="00D87D53">
        <w:rPr>
          <w:rFonts w:ascii="Times New Roman" w:hAnsi="Times New Roman" w:cs="Times New Roman"/>
          <w:b/>
          <w:sz w:val="24"/>
          <w:szCs w:val="24"/>
          <w:lang w:val="en-GB"/>
        </w:rPr>
        <w:t>/Aim</w:t>
      </w:r>
    </w:p>
    <w:p w:rsidR="00BA5EF4" w:rsidRPr="00D87D53" w:rsidRDefault="00BA5EF4" w:rsidP="005A49B1">
      <w:pPr>
        <w:ind w:left="0" w:firstLine="0"/>
        <w:rPr>
          <w:rFonts w:ascii="Times New Roman" w:hAnsi="Times New Roman" w:cs="Times New Roman"/>
          <w:sz w:val="24"/>
          <w:szCs w:val="24"/>
          <w:lang w:val="en-GB"/>
        </w:rPr>
      </w:pPr>
      <w:r w:rsidRPr="00D87D53">
        <w:rPr>
          <w:rFonts w:ascii="Times New Roman" w:hAnsi="Times New Roman" w:cs="Times New Roman"/>
          <w:sz w:val="24"/>
          <w:szCs w:val="24"/>
          <w:lang w:val="en-GB"/>
        </w:rPr>
        <w:t>The withdrawal of anti-TNF therapy in IBD pa</w:t>
      </w:r>
      <w:r w:rsidR="001B435B" w:rsidRPr="00D87D53">
        <w:rPr>
          <w:rFonts w:ascii="Times New Roman" w:hAnsi="Times New Roman" w:cs="Times New Roman"/>
          <w:sz w:val="24"/>
          <w:szCs w:val="24"/>
          <w:lang w:val="en-GB"/>
        </w:rPr>
        <w:t>tients in remission is debated</w:t>
      </w:r>
      <w:r w:rsidRPr="00D87D53">
        <w:rPr>
          <w:rFonts w:ascii="Times New Roman" w:hAnsi="Times New Roman" w:cs="Times New Roman"/>
          <w:sz w:val="24"/>
          <w:szCs w:val="24"/>
          <w:lang w:val="en-GB"/>
        </w:rPr>
        <w:t xml:space="preserve">. The STATIC study aims to evaluate the two-year relapse rate after anti-TNF discontinuation in Swedish patients with ulcerative colitis (UC) or Crohn’s disease (CD), and </w:t>
      </w:r>
      <w:r w:rsidR="00D87D53" w:rsidRPr="00D87D53">
        <w:rPr>
          <w:rFonts w:ascii="Times New Roman" w:eastAsiaTheme="minorEastAsia" w:hAnsi="Times New Roman" w:cs="Times New Roman"/>
          <w:color w:val="auto"/>
          <w:sz w:val="24"/>
          <w:szCs w:val="24"/>
          <w:lang w:val="en-GB"/>
        </w:rPr>
        <w:t>to identify clinical and biological markers (i.e. prognostic factors) that offer guidance as to which patients successfully may discontinue maintenance anti-TNF therapy, and which patients on the contrary should continue treatment in order to remain in remission</w:t>
      </w:r>
      <w:r w:rsidR="00D87D53" w:rsidRPr="00D87D53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D87D53">
        <w:rPr>
          <w:rFonts w:ascii="Times New Roman" w:hAnsi="Times New Roman" w:cs="Times New Roman"/>
          <w:sz w:val="24"/>
          <w:szCs w:val="24"/>
          <w:lang w:val="en-GB"/>
        </w:rPr>
        <w:t>Here, we present preliminary clinical data from the study.</w:t>
      </w:r>
    </w:p>
    <w:p w:rsidR="005A49B1" w:rsidRPr="00D87D53" w:rsidRDefault="005A49B1" w:rsidP="005A49B1">
      <w:pPr>
        <w:ind w:left="0" w:firstLine="0"/>
        <w:rPr>
          <w:rFonts w:ascii="Times New Roman" w:hAnsi="Times New Roman" w:cs="Times New Roman"/>
          <w:sz w:val="24"/>
          <w:szCs w:val="24"/>
          <w:lang w:val="en-GB"/>
        </w:rPr>
      </w:pPr>
    </w:p>
    <w:p w:rsidR="005A49B1" w:rsidRPr="00D87D53" w:rsidRDefault="005A49B1" w:rsidP="005A49B1">
      <w:pPr>
        <w:ind w:left="0" w:firstLine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D87D53">
        <w:rPr>
          <w:rFonts w:ascii="Times New Roman" w:hAnsi="Times New Roman" w:cs="Times New Roman"/>
          <w:b/>
          <w:sz w:val="24"/>
          <w:szCs w:val="24"/>
          <w:lang w:val="en-GB"/>
        </w:rPr>
        <w:t>Methods</w:t>
      </w:r>
    </w:p>
    <w:p w:rsidR="005A49B1" w:rsidRPr="00D87D53" w:rsidRDefault="005A49B1" w:rsidP="005A49B1">
      <w:pPr>
        <w:ind w:left="0" w:firstLine="0"/>
        <w:rPr>
          <w:rFonts w:ascii="Times New Roman" w:hAnsi="Times New Roman" w:cs="Times New Roman"/>
          <w:sz w:val="24"/>
          <w:szCs w:val="24"/>
          <w:lang w:val="en-GB"/>
        </w:rPr>
      </w:pPr>
      <w:r w:rsidRPr="00D87D53">
        <w:rPr>
          <w:rFonts w:ascii="Times New Roman" w:hAnsi="Times New Roman" w:cs="Times New Roman"/>
          <w:sz w:val="24"/>
          <w:szCs w:val="24"/>
          <w:lang w:val="en-GB"/>
        </w:rPr>
        <w:t>STATIC is a prospective observational cohort study including patients aged 1</w:t>
      </w:r>
      <w:r w:rsidR="00D87D53" w:rsidRPr="00D87D53">
        <w:rPr>
          <w:rFonts w:ascii="Times New Roman" w:hAnsi="Times New Roman" w:cs="Times New Roman"/>
          <w:sz w:val="24"/>
          <w:szCs w:val="24"/>
          <w:lang w:val="en-GB"/>
        </w:rPr>
        <w:t>8–80 years with UC or CD treated with</w:t>
      </w:r>
      <w:r w:rsidRPr="00D87D53">
        <w:rPr>
          <w:rFonts w:ascii="Times New Roman" w:hAnsi="Times New Roman" w:cs="Times New Roman"/>
          <w:sz w:val="24"/>
          <w:szCs w:val="24"/>
          <w:lang w:val="en-GB"/>
        </w:rPr>
        <w:t xml:space="preserve"> infliximab or </w:t>
      </w:r>
      <w:proofErr w:type="spellStart"/>
      <w:r w:rsidRPr="00D87D53">
        <w:rPr>
          <w:rFonts w:ascii="Times New Roman" w:hAnsi="Times New Roman" w:cs="Times New Roman"/>
          <w:sz w:val="24"/>
          <w:szCs w:val="24"/>
          <w:lang w:val="en-GB"/>
        </w:rPr>
        <w:t>adalimumab</w:t>
      </w:r>
      <w:proofErr w:type="spellEnd"/>
      <w:r w:rsidR="00D87D53" w:rsidRPr="00D87D53">
        <w:rPr>
          <w:rFonts w:ascii="Times New Roman" w:hAnsi="Times New Roman" w:cs="Times New Roman"/>
          <w:sz w:val="24"/>
          <w:szCs w:val="24"/>
          <w:lang w:val="en-GB"/>
        </w:rPr>
        <w:t xml:space="preserve"> for at least 12 months and in stable remission</w:t>
      </w:r>
      <w:r w:rsidRPr="00D87D53">
        <w:rPr>
          <w:rFonts w:ascii="Times New Roman" w:hAnsi="Times New Roman" w:cs="Times New Roman"/>
          <w:sz w:val="24"/>
          <w:szCs w:val="24"/>
          <w:lang w:val="en-GB"/>
        </w:rPr>
        <w:t xml:space="preserve">. Concomitant treatment with an </w:t>
      </w:r>
      <w:proofErr w:type="spellStart"/>
      <w:r w:rsidRPr="00D87D53">
        <w:rPr>
          <w:rFonts w:ascii="Times New Roman" w:hAnsi="Times New Roman" w:cs="Times New Roman"/>
          <w:sz w:val="24"/>
          <w:szCs w:val="24"/>
          <w:lang w:val="en-GB"/>
        </w:rPr>
        <w:t>immunomodulator</w:t>
      </w:r>
      <w:proofErr w:type="spellEnd"/>
      <w:r w:rsidRPr="00D87D53">
        <w:rPr>
          <w:rFonts w:ascii="Times New Roman" w:hAnsi="Times New Roman" w:cs="Times New Roman"/>
          <w:sz w:val="24"/>
          <w:szCs w:val="24"/>
          <w:lang w:val="en-GB"/>
        </w:rPr>
        <w:t xml:space="preserve"> (IM) was permitted. At baseline, all patients were in deep remission, confirmed by endoscopy and </w:t>
      </w:r>
      <w:proofErr w:type="spellStart"/>
      <w:r w:rsidRPr="00D87D53">
        <w:rPr>
          <w:rFonts w:ascii="Times New Roman" w:hAnsi="Times New Roman" w:cs="Times New Roman"/>
          <w:sz w:val="24"/>
          <w:szCs w:val="24"/>
          <w:lang w:val="en-GB"/>
        </w:rPr>
        <w:t>fecal</w:t>
      </w:r>
      <w:proofErr w:type="spellEnd"/>
      <w:r w:rsidRPr="00D87D53">
        <w:rPr>
          <w:rFonts w:ascii="Times New Roman" w:hAnsi="Times New Roman" w:cs="Times New Roman"/>
          <w:sz w:val="24"/>
          <w:szCs w:val="24"/>
          <w:lang w:val="en-GB"/>
        </w:rPr>
        <w:t xml:space="preserve"> calprotectin measurements. Anti-TNF therapy was discontinued, and patients were followed for two years or until relapse</w:t>
      </w:r>
      <w:r w:rsidR="00D17D35" w:rsidRPr="00D87D53">
        <w:rPr>
          <w:rFonts w:ascii="Times New Roman" w:hAnsi="Times New Roman" w:cs="Times New Roman"/>
          <w:sz w:val="24"/>
          <w:szCs w:val="24"/>
          <w:lang w:val="en-GB"/>
        </w:rPr>
        <w:t xml:space="preserve"> with regular clinical </w:t>
      </w:r>
      <w:proofErr w:type="spellStart"/>
      <w:r w:rsidR="00D17D35" w:rsidRPr="00D87D53">
        <w:rPr>
          <w:rFonts w:ascii="Times New Roman" w:hAnsi="Times New Roman" w:cs="Times New Roman"/>
          <w:sz w:val="24"/>
          <w:szCs w:val="24"/>
          <w:lang w:val="en-GB"/>
        </w:rPr>
        <w:t>examintions</w:t>
      </w:r>
      <w:proofErr w:type="spellEnd"/>
      <w:r w:rsidR="00D17D35" w:rsidRPr="00D87D53">
        <w:rPr>
          <w:rFonts w:ascii="Times New Roman" w:hAnsi="Times New Roman" w:cs="Times New Roman"/>
          <w:sz w:val="24"/>
          <w:szCs w:val="24"/>
          <w:lang w:val="en-GB"/>
        </w:rPr>
        <w:t xml:space="preserve"> and sampling for biomarker studies</w:t>
      </w:r>
      <w:r w:rsidRPr="00D87D53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D17D35" w:rsidRPr="00D87D5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D476B" w:rsidRPr="00D87D53">
        <w:rPr>
          <w:rFonts w:ascii="Times New Roman" w:hAnsi="Times New Roman" w:cs="Times New Roman"/>
          <w:sz w:val="24"/>
          <w:szCs w:val="24"/>
          <w:lang w:val="en-GB"/>
        </w:rPr>
        <w:t xml:space="preserve">At 12, </w:t>
      </w:r>
      <w:r w:rsidR="00D17D35" w:rsidRPr="00D87D53">
        <w:rPr>
          <w:rFonts w:ascii="Times New Roman" w:hAnsi="Times New Roman" w:cs="Times New Roman"/>
          <w:sz w:val="24"/>
          <w:szCs w:val="24"/>
          <w:lang w:val="en-GB"/>
        </w:rPr>
        <w:t>24 months (end of study)</w:t>
      </w:r>
      <w:r w:rsidR="00AD476B" w:rsidRPr="00D87D53">
        <w:rPr>
          <w:rFonts w:ascii="Times New Roman" w:hAnsi="Times New Roman" w:cs="Times New Roman"/>
          <w:sz w:val="24"/>
          <w:szCs w:val="24"/>
          <w:lang w:val="en-GB"/>
        </w:rPr>
        <w:t xml:space="preserve"> or at </w:t>
      </w:r>
      <w:proofErr w:type="spellStart"/>
      <w:r w:rsidR="00AD476B" w:rsidRPr="00D87D53">
        <w:rPr>
          <w:rFonts w:ascii="Times New Roman" w:hAnsi="Times New Roman" w:cs="Times New Roman"/>
          <w:sz w:val="24"/>
          <w:szCs w:val="24"/>
          <w:lang w:val="en-GB"/>
        </w:rPr>
        <w:t>relaps</w:t>
      </w:r>
      <w:proofErr w:type="spellEnd"/>
      <w:r w:rsidR="00D17D35" w:rsidRPr="00D87D53">
        <w:rPr>
          <w:rFonts w:ascii="Times New Roman" w:hAnsi="Times New Roman" w:cs="Times New Roman"/>
          <w:sz w:val="24"/>
          <w:szCs w:val="24"/>
          <w:lang w:val="en-GB"/>
        </w:rPr>
        <w:t xml:space="preserve"> an endoscopy with</w:t>
      </w:r>
      <w:r w:rsidR="002C0B6E" w:rsidRPr="00D87D53">
        <w:rPr>
          <w:rFonts w:ascii="Times New Roman" w:hAnsi="Times New Roman" w:cs="Times New Roman"/>
          <w:sz w:val="24"/>
          <w:szCs w:val="24"/>
          <w:lang w:val="en-GB"/>
        </w:rPr>
        <w:t xml:space="preserve"> calculations of endoscopic scores and biopsy sampling was done.</w:t>
      </w:r>
    </w:p>
    <w:p w:rsidR="005A49B1" w:rsidRPr="00D87D53" w:rsidRDefault="005A49B1" w:rsidP="005A49B1">
      <w:pPr>
        <w:ind w:left="0" w:firstLine="0"/>
        <w:rPr>
          <w:rFonts w:ascii="Times New Roman" w:hAnsi="Times New Roman" w:cs="Times New Roman"/>
          <w:sz w:val="24"/>
          <w:szCs w:val="24"/>
          <w:lang w:val="en-GB"/>
        </w:rPr>
      </w:pPr>
    </w:p>
    <w:p w:rsidR="005A49B1" w:rsidRPr="00D87D53" w:rsidRDefault="005A49B1" w:rsidP="005A49B1">
      <w:pPr>
        <w:ind w:left="0" w:firstLine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D87D53">
        <w:rPr>
          <w:rFonts w:ascii="Times New Roman" w:hAnsi="Times New Roman" w:cs="Times New Roman"/>
          <w:b/>
          <w:sz w:val="24"/>
          <w:szCs w:val="24"/>
          <w:lang w:val="en-GB"/>
        </w:rPr>
        <w:t>Results</w:t>
      </w:r>
    </w:p>
    <w:p w:rsidR="005A49B1" w:rsidRPr="00D87D53" w:rsidRDefault="005A49B1" w:rsidP="005A49B1">
      <w:pPr>
        <w:ind w:left="0" w:firstLine="0"/>
        <w:rPr>
          <w:rFonts w:ascii="Times New Roman" w:hAnsi="Times New Roman" w:cs="Times New Roman"/>
          <w:sz w:val="24"/>
          <w:szCs w:val="24"/>
          <w:lang w:val="en-GB"/>
        </w:rPr>
      </w:pPr>
      <w:r w:rsidRPr="00D87D53">
        <w:rPr>
          <w:rFonts w:ascii="Times New Roman" w:hAnsi="Times New Roman" w:cs="Times New Roman"/>
          <w:sz w:val="24"/>
          <w:szCs w:val="24"/>
          <w:lang w:val="en-GB"/>
        </w:rPr>
        <w:t xml:space="preserve">A total of 118 patients were enrolled. To date, complete follow-up data are available for 95 patients (UC = 53, CD = 42). Forty-nine patients (52%) received concomitant IM therapy: azathioprine (n = 40), 6-mercaptopurine (n = 6), or methotrexate (n = 3). The mean baseline </w:t>
      </w:r>
      <w:proofErr w:type="spellStart"/>
      <w:r w:rsidRPr="00D87D53">
        <w:rPr>
          <w:rFonts w:ascii="Times New Roman" w:hAnsi="Times New Roman" w:cs="Times New Roman"/>
          <w:sz w:val="24"/>
          <w:szCs w:val="24"/>
          <w:lang w:val="en-GB"/>
        </w:rPr>
        <w:t>fecal</w:t>
      </w:r>
      <w:proofErr w:type="spellEnd"/>
      <w:r w:rsidRPr="00D87D53">
        <w:rPr>
          <w:rFonts w:ascii="Times New Roman" w:hAnsi="Times New Roman" w:cs="Times New Roman"/>
          <w:sz w:val="24"/>
          <w:szCs w:val="24"/>
          <w:lang w:val="en-GB"/>
        </w:rPr>
        <w:t xml:space="preserve"> calprotectin level was 54 mg/kg.</w:t>
      </w:r>
      <w:r w:rsidR="00D87D53" w:rsidRPr="00D87D5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D87D53">
        <w:rPr>
          <w:rFonts w:ascii="Times New Roman" w:hAnsi="Times New Roman" w:cs="Times New Roman"/>
          <w:sz w:val="24"/>
          <w:szCs w:val="24"/>
          <w:lang w:val="en-GB"/>
        </w:rPr>
        <w:t>Among the 95 patients with complete follow-up, 57% (n = 54) experienced a relapse within two years (UC: 53%, CD: 62%). The relapse rate was 47% in patients receiving an IM, compared with 67% in those without IM therapy (p &lt; 0.05). Th</w:t>
      </w:r>
      <w:r w:rsidR="001F0DCE">
        <w:rPr>
          <w:rFonts w:ascii="Times New Roman" w:hAnsi="Times New Roman" w:cs="Times New Roman"/>
          <w:sz w:val="24"/>
          <w:szCs w:val="24"/>
          <w:lang w:val="en-GB"/>
        </w:rPr>
        <w:t>e median time to relapse was 12</w:t>
      </w:r>
      <w:r w:rsidRPr="00D87D53">
        <w:rPr>
          <w:rFonts w:ascii="Times New Roman" w:hAnsi="Times New Roman" w:cs="Times New Roman"/>
          <w:sz w:val="24"/>
          <w:szCs w:val="24"/>
          <w:lang w:val="en-GB"/>
        </w:rPr>
        <w:t xml:space="preserve"> mon</w:t>
      </w:r>
      <w:r w:rsidR="001F0DCE">
        <w:rPr>
          <w:rFonts w:ascii="Times New Roman" w:hAnsi="Times New Roman" w:cs="Times New Roman"/>
          <w:sz w:val="24"/>
          <w:szCs w:val="24"/>
          <w:lang w:val="en-GB"/>
        </w:rPr>
        <w:t>ths with concomitant IM, and 23.6 months without IM</w:t>
      </w:r>
      <w:bookmarkStart w:id="0" w:name="_GoBack"/>
      <w:bookmarkEnd w:id="0"/>
      <w:r w:rsidRPr="00D87D53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5A49B1" w:rsidRPr="00D87D53" w:rsidRDefault="005A49B1" w:rsidP="005A49B1">
      <w:pPr>
        <w:ind w:left="0" w:firstLine="0"/>
        <w:rPr>
          <w:rFonts w:ascii="Times New Roman" w:hAnsi="Times New Roman" w:cs="Times New Roman"/>
          <w:sz w:val="24"/>
          <w:szCs w:val="24"/>
          <w:lang w:val="en-GB"/>
        </w:rPr>
      </w:pPr>
    </w:p>
    <w:p w:rsidR="00FE12C8" w:rsidRPr="00D87D53" w:rsidRDefault="005A49B1" w:rsidP="005A49B1">
      <w:pPr>
        <w:ind w:left="0" w:firstLine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D87D53">
        <w:rPr>
          <w:rFonts w:ascii="Times New Roman" w:hAnsi="Times New Roman" w:cs="Times New Roman"/>
          <w:b/>
          <w:sz w:val="24"/>
          <w:szCs w:val="24"/>
          <w:lang w:val="en-GB"/>
        </w:rPr>
        <w:t>Conclusion</w:t>
      </w:r>
    </w:p>
    <w:p w:rsidR="00FE12C8" w:rsidRPr="001F0DCE" w:rsidRDefault="00FE12C8" w:rsidP="005A49B1">
      <w:pPr>
        <w:ind w:left="0" w:firstLine="0"/>
        <w:rPr>
          <w:rFonts w:ascii="Times New Roman" w:hAnsi="Times New Roman" w:cs="Times New Roman"/>
          <w:sz w:val="24"/>
          <w:szCs w:val="24"/>
          <w:lang w:val="en-GB"/>
        </w:rPr>
      </w:pPr>
      <w:r w:rsidRPr="00D87D53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In this preliminary analysis from the STATIC study, </w:t>
      </w:r>
      <w:r w:rsidR="001B435B" w:rsidRPr="00D87D53">
        <w:rPr>
          <w:rFonts w:ascii="Times New Roman" w:hAnsi="Times New Roman" w:cs="Times New Roman"/>
          <w:sz w:val="24"/>
          <w:szCs w:val="24"/>
          <w:lang w:val="en-GB"/>
        </w:rPr>
        <w:t>a significant proportion of patients in stable remission, remained in rem</w:t>
      </w:r>
      <w:r w:rsidR="00D87D53" w:rsidRPr="00D87D53">
        <w:rPr>
          <w:rFonts w:ascii="Times New Roman" w:hAnsi="Times New Roman" w:cs="Times New Roman"/>
          <w:sz w:val="24"/>
          <w:szCs w:val="24"/>
          <w:lang w:val="en-GB"/>
        </w:rPr>
        <w:t>ission after anti-TNF discontinuation</w:t>
      </w:r>
      <w:r w:rsidRPr="00D87D53">
        <w:rPr>
          <w:rFonts w:ascii="Times New Roman" w:hAnsi="Times New Roman" w:cs="Times New Roman"/>
          <w:sz w:val="24"/>
          <w:szCs w:val="24"/>
          <w:lang w:val="en-GB"/>
        </w:rPr>
        <w:t>. Relapse rates were lower among patients who rece</w:t>
      </w:r>
      <w:r w:rsidR="00D87D53" w:rsidRPr="00D87D53">
        <w:rPr>
          <w:rFonts w:ascii="Times New Roman" w:hAnsi="Times New Roman" w:cs="Times New Roman"/>
          <w:sz w:val="24"/>
          <w:szCs w:val="24"/>
          <w:lang w:val="en-GB"/>
        </w:rPr>
        <w:t>ived concomitant IM</w:t>
      </w:r>
      <w:r w:rsidRPr="00D87D53">
        <w:rPr>
          <w:rFonts w:ascii="Times New Roman" w:hAnsi="Times New Roman" w:cs="Times New Roman"/>
          <w:sz w:val="24"/>
          <w:szCs w:val="24"/>
          <w:lang w:val="en-GB"/>
        </w:rPr>
        <w:t xml:space="preserve"> therapy. Further analyses, in</w:t>
      </w:r>
      <w:r w:rsidR="001B435B" w:rsidRPr="00D87D53">
        <w:rPr>
          <w:rFonts w:ascii="Times New Roman" w:hAnsi="Times New Roman" w:cs="Times New Roman"/>
          <w:sz w:val="24"/>
          <w:szCs w:val="24"/>
          <w:lang w:val="en-GB"/>
        </w:rPr>
        <w:t>cluding studies for predictive</w:t>
      </w:r>
      <w:r w:rsidR="00D87D53" w:rsidRPr="00D87D53">
        <w:rPr>
          <w:rFonts w:ascii="Times New Roman" w:hAnsi="Times New Roman" w:cs="Times New Roman"/>
          <w:sz w:val="24"/>
          <w:szCs w:val="24"/>
          <w:lang w:val="en-GB"/>
        </w:rPr>
        <w:t xml:space="preserve"> biomarkers, are underway</w:t>
      </w:r>
      <w:r w:rsidRPr="001F0DCE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7B0710" w:rsidRPr="001F0DCE" w:rsidRDefault="007B0710" w:rsidP="005A49B1">
      <w:pPr>
        <w:ind w:left="0" w:firstLine="0"/>
        <w:rPr>
          <w:rFonts w:ascii="Times New Roman" w:hAnsi="Times New Roman" w:cs="Times New Roman"/>
          <w:sz w:val="24"/>
          <w:szCs w:val="24"/>
          <w:lang w:val="en-GB"/>
        </w:rPr>
      </w:pPr>
    </w:p>
    <w:p w:rsidR="007B0710" w:rsidRPr="001F0DCE" w:rsidRDefault="007B0710" w:rsidP="005A49B1">
      <w:pPr>
        <w:ind w:left="0" w:firstLine="0"/>
        <w:rPr>
          <w:rFonts w:ascii="Times New Roman" w:hAnsi="Times New Roman" w:cs="Times New Roman"/>
          <w:sz w:val="24"/>
          <w:szCs w:val="24"/>
          <w:lang w:val="en-GB"/>
        </w:rPr>
      </w:pPr>
    </w:p>
    <w:p w:rsidR="007B0710" w:rsidRPr="001F0DCE" w:rsidRDefault="007B0710" w:rsidP="005A49B1">
      <w:pPr>
        <w:ind w:left="0" w:firstLine="0"/>
        <w:rPr>
          <w:rFonts w:ascii="Times New Roman" w:hAnsi="Times New Roman" w:cs="Times New Roman"/>
          <w:sz w:val="24"/>
          <w:szCs w:val="24"/>
          <w:lang w:val="en-GB"/>
        </w:rPr>
      </w:pPr>
      <w:r w:rsidRPr="001F0DCE">
        <w:rPr>
          <w:rFonts w:ascii="Times New Roman" w:hAnsi="Times New Roman" w:cs="Times New Roman"/>
          <w:sz w:val="24"/>
          <w:szCs w:val="24"/>
          <w:lang w:val="en-GB"/>
        </w:rPr>
        <w:t>Conflicts of interest</w:t>
      </w:r>
      <w:r w:rsidR="001A5F20" w:rsidRPr="001F0DCE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:rsidR="007B0710" w:rsidRPr="001F0DCE" w:rsidRDefault="007B0710" w:rsidP="007B0710">
      <w:pPr>
        <w:ind w:left="0" w:firstLine="0"/>
        <w:rPr>
          <w:rFonts w:ascii="Times New Roman" w:hAnsi="Times New Roman" w:cs="Times New Roman"/>
          <w:sz w:val="24"/>
          <w:szCs w:val="24"/>
          <w:lang w:val="en-GB"/>
        </w:rPr>
      </w:pPr>
      <w:r w:rsidRPr="001F0DCE">
        <w:rPr>
          <w:rFonts w:ascii="Times New Roman" w:hAnsi="Times New Roman" w:cs="Times New Roman"/>
          <w:sz w:val="24"/>
          <w:szCs w:val="24"/>
          <w:lang w:val="en-GB"/>
        </w:rPr>
        <w:t xml:space="preserve">JM has served as a speaker, consultant, or advisory board member for AbbVie, Amgen, Bayer, Biogen, BMS, Eli Lilly, </w:t>
      </w:r>
      <w:proofErr w:type="spellStart"/>
      <w:r w:rsidRPr="001F0DCE">
        <w:rPr>
          <w:rFonts w:ascii="Times New Roman" w:hAnsi="Times New Roman" w:cs="Times New Roman"/>
          <w:sz w:val="24"/>
          <w:szCs w:val="24"/>
          <w:lang w:val="en-GB"/>
        </w:rPr>
        <w:t>Ferring</w:t>
      </w:r>
      <w:proofErr w:type="spellEnd"/>
      <w:r w:rsidRPr="001F0DCE">
        <w:rPr>
          <w:rFonts w:ascii="Times New Roman" w:hAnsi="Times New Roman" w:cs="Times New Roman"/>
          <w:sz w:val="24"/>
          <w:szCs w:val="24"/>
          <w:lang w:val="en-GB"/>
        </w:rPr>
        <w:t>, Galapagos/</w:t>
      </w:r>
      <w:proofErr w:type="spellStart"/>
      <w:r w:rsidRPr="001F0DCE">
        <w:rPr>
          <w:rFonts w:ascii="Times New Roman" w:hAnsi="Times New Roman" w:cs="Times New Roman"/>
          <w:sz w:val="24"/>
          <w:szCs w:val="24"/>
          <w:lang w:val="en-GB"/>
        </w:rPr>
        <w:t>Alfasigma</w:t>
      </w:r>
      <w:proofErr w:type="spellEnd"/>
      <w:r w:rsidRPr="001F0DC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1F0DCE">
        <w:rPr>
          <w:rFonts w:ascii="Times New Roman" w:hAnsi="Times New Roman" w:cs="Times New Roman"/>
          <w:sz w:val="24"/>
          <w:szCs w:val="24"/>
          <w:lang w:val="en-GB"/>
        </w:rPr>
        <w:t>Hospira</w:t>
      </w:r>
      <w:proofErr w:type="spellEnd"/>
      <w:r w:rsidRPr="001F0DCE">
        <w:rPr>
          <w:rFonts w:ascii="Times New Roman" w:hAnsi="Times New Roman" w:cs="Times New Roman"/>
          <w:sz w:val="24"/>
          <w:szCs w:val="24"/>
          <w:lang w:val="en-GB"/>
        </w:rPr>
        <w:t xml:space="preserve">, ITH, Janssen, </w:t>
      </w:r>
      <w:proofErr w:type="spellStart"/>
      <w:r w:rsidRPr="001F0DCE">
        <w:rPr>
          <w:rFonts w:ascii="Times New Roman" w:hAnsi="Times New Roman" w:cs="Times New Roman"/>
          <w:sz w:val="24"/>
          <w:szCs w:val="24"/>
          <w:lang w:val="en-GB"/>
        </w:rPr>
        <w:t>Lument</w:t>
      </w:r>
      <w:proofErr w:type="spellEnd"/>
      <w:r w:rsidRPr="001F0DCE">
        <w:rPr>
          <w:rFonts w:ascii="Times New Roman" w:hAnsi="Times New Roman" w:cs="Times New Roman"/>
          <w:sz w:val="24"/>
          <w:szCs w:val="24"/>
          <w:lang w:val="en-GB"/>
        </w:rPr>
        <w:t xml:space="preserve">, MSD, Otsuka, Pfizer, Sandoz, Takeda, </w:t>
      </w:r>
      <w:proofErr w:type="spellStart"/>
      <w:r w:rsidRPr="001F0DCE">
        <w:rPr>
          <w:rFonts w:ascii="Times New Roman" w:hAnsi="Times New Roman" w:cs="Times New Roman"/>
          <w:sz w:val="24"/>
          <w:szCs w:val="24"/>
          <w:lang w:val="en-GB"/>
        </w:rPr>
        <w:t>Tillotts</w:t>
      </w:r>
      <w:proofErr w:type="spellEnd"/>
      <w:r w:rsidRPr="001F0DCE">
        <w:rPr>
          <w:rFonts w:ascii="Times New Roman" w:hAnsi="Times New Roman" w:cs="Times New Roman"/>
          <w:sz w:val="24"/>
          <w:szCs w:val="24"/>
          <w:lang w:val="en-GB"/>
        </w:rPr>
        <w:t xml:space="preserve">, and UCB and has received grant support from AbbVie, BMS, </w:t>
      </w:r>
      <w:proofErr w:type="spellStart"/>
      <w:r w:rsidRPr="001F0DCE">
        <w:rPr>
          <w:rFonts w:ascii="Times New Roman" w:hAnsi="Times New Roman" w:cs="Times New Roman"/>
          <w:sz w:val="24"/>
          <w:szCs w:val="24"/>
          <w:lang w:val="en-GB"/>
        </w:rPr>
        <w:t>Calpro</w:t>
      </w:r>
      <w:proofErr w:type="spellEnd"/>
      <w:r w:rsidRPr="001F0DCE">
        <w:rPr>
          <w:rFonts w:ascii="Times New Roman" w:hAnsi="Times New Roman" w:cs="Times New Roman"/>
          <w:sz w:val="24"/>
          <w:szCs w:val="24"/>
          <w:lang w:val="en-GB"/>
        </w:rPr>
        <w:t xml:space="preserve"> AS, </w:t>
      </w:r>
      <w:proofErr w:type="spellStart"/>
      <w:r w:rsidRPr="001F0DCE">
        <w:rPr>
          <w:rFonts w:ascii="Times New Roman" w:hAnsi="Times New Roman" w:cs="Times New Roman"/>
          <w:sz w:val="24"/>
          <w:szCs w:val="24"/>
          <w:lang w:val="en-GB"/>
        </w:rPr>
        <w:t>Carbiotix</w:t>
      </w:r>
      <w:proofErr w:type="spellEnd"/>
      <w:r w:rsidRPr="001F0DC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1F0DCE">
        <w:rPr>
          <w:rFonts w:ascii="Times New Roman" w:hAnsi="Times New Roman" w:cs="Times New Roman"/>
          <w:sz w:val="24"/>
          <w:szCs w:val="24"/>
          <w:lang w:val="en-GB"/>
        </w:rPr>
        <w:t>Ferring</w:t>
      </w:r>
      <w:proofErr w:type="spellEnd"/>
      <w:r w:rsidRPr="001F0DCE">
        <w:rPr>
          <w:rFonts w:ascii="Times New Roman" w:hAnsi="Times New Roman" w:cs="Times New Roman"/>
          <w:sz w:val="24"/>
          <w:szCs w:val="24"/>
          <w:lang w:val="en-GB"/>
        </w:rPr>
        <w:t xml:space="preserve">, Fresenius </w:t>
      </w:r>
      <w:proofErr w:type="spellStart"/>
      <w:r w:rsidRPr="001F0DCE">
        <w:rPr>
          <w:rFonts w:ascii="Times New Roman" w:hAnsi="Times New Roman" w:cs="Times New Roman"/>
          <w:sz w:val="24"/>
          <w:szCs w:val="24"/>
          <w:lang w:val="en-GB"/>
        </w:rPr>
        <w:t>Kabi</w:t>
      </w:r>
      <w:proofErr w:type="spellEnd"/>
      <w:r w:rsidRPr="001F0DCE">
        <w:rPr>
          <w:rFonts w:ascii="Times New Roman" w:hAnsi="Times New Roman" w:cs="Times New Roman"/>
          <w:sz w:val="24"/>
          <w:szCs w:val="24"/>
          <w:lang w:val="en-GB"/>
        </w:rPr>
        <w:t xml:space="preserve">, Pfizer, </w:t>
      </w:r>
      <w:proofErr w:type="spellStart"/>
      <w:r w:rsidRPr="001F0DCE">
        <w:rPr>
          <w:rFonts w:ascii="Times New Roman" w:hAnsi="Times New Roman" w:cs="Times New Roman"/>
          <w:sz w:val="24"/>
          <w:szCs w:val="24"/>
          <w:lang w:val="en-GB"/>
        </w:rPr>
        <w:t>Svar</w:t>
      </w:r>
      <w:proofErr w:type="spellEnd"/>
      <w:r w:rsidRPr="001F0DCE">
        <w:rPr>
          <w:rFonts w:ascii="Times New Roman" w:hAnsi="Times New Roman" w:cs="Times New Roman"/>
          <w:sz w:val="24"/>
          <w:szCs w:val="24"/>
          <w:lang w:val="en-GB"/>
        </w:rPr>
        <w:t xml:space="preserve"> Life Science, and Takeda.</w:t>
      </w:r>
    </w:p>
    <w:p w:rsidR="001A5F20" w:rsidRPr="001F0DCE" w:rsidRDefault="001A5F20" w:rsidP="001A5F20">
      <w:pPr>
        <w:ind w:left="0" w:firstLine="0"/>
        <w:rPr>
          <w:rFonts w:ascii="Times New Roman" w:hAnsi="Times New Roman" w:cs="Times New Roman"/>
          <w:sz w:val="24"/>
          <w:szCs w:val="24"/>
          <w:lang w:val="en-GB"/>
        </w:rPr>
      </w:pPr>
      <w:r w:rsidRPr="001F0DCE">
        <w:rPr>
          <w:rFonts w:ascii="Times New Roman" w:hAnsi="Times New Roman" w:cs="Times New Roman"/>
          <w:sz w:val="24"/>
          <w:szCs w:val="24"/>
          <w:lang w:val="en-GB"/>
        </w:rPr>
        <w:t xml:space="preserve">CH served as a speaker and/or advisory board member for AstraZeneca, AbbVie, </w:t>
      </w:r>
      <w:proofErr w:type="spellStart"/>
      <w:r w:rsidRPr="001F0DCE">
        <w:rPr>
          <w:rFonts w:ascii="Times New Roman" w:hAnsi="Times New Roman" w:cs="Times New Roman"/>
          <w:sz w:val="24"/>
          <w:szCs w:val="24"/>
          <w:lang w:val="en-GB"/>
        </w:rPr>
        <w:t>Dr.</w:t>
      </w:r>
      <w:proofErr w:type="spellEnd"/>
      <w:r w:rsidRPr="001F0DCE">
        <w:rPr>
          <w:rFonts w:ascii="Times New Roman" w:hAnsi="Times New Roman" w:cs="Times New Roman"/>
          <w:sz w:val="24"/>
          <w:szCs w:val="24"/>
          <w:lang w:val="en-GB"/>
        </w:rPr>
        <w:t xml:space="preserve"> Falk Pharma and the Falk Foundation, Galapagos, Janssen, Pfizer, </w:t>
      </w:r>
      <w:proofErr w:type="spellStart"/>
      <w:r w:rsidRPr="001F0DCE">
        <w:rPr>
          <w:rFonts w:ascii="Times New Roman" w:hAnsi="Times New Roman" w:cs="Times New Roman"/>
          <w:sz w:val="24"/>
          <w:szCs w:val="24"/>
          <w:lang w:val="en-GB"/>
        </w:rPr>
        <w:t>Ferring</w:t>
      </w:r>
      <w:proofErr w:type="spellEnd"/>
      <w:r w:rsidRPr="001F0DCE">
        <w:rPr>
          <w:rFonts w:ascii="Times New Roman" w:hAnsi="Times New Roman" w:cs="Times New Roman"/>
          <w:sz w:val="24"/>
          <w:szCs w:val="24"/>
          <w:lang w:val="en-GB"/>
        </w:rPr>
        <w:t xml:space="preserve">, Takeda, and </w:t>
      </w:r>
      <w:proofErr w:type="spellStart"/>
      <w:r w:rsidRPr="001F0DCE">
        <w:rPr>
          <w:rFonts w:ascii="Times New Roman" w:hAnsi="Times New Roman" w:cs="Times New Roman"/>
          <w:sz w:val="24"/>
          <w:szCs w:val="24"/>
          <w:lang w:val="en-GB"/>
        </w:rPr>
        <w:t>Tillotts</w:t>
      </w:r>
      <w:proofErr w:type="spellEnd"/>
      <w:r w:rsidRPr="001F0DCE">
        <w:rPr>
          <w:rFonts w:ascii="Times New Roman" w:hAnsi="Times New Roman" w:cs="Times New Roman"/>
          <w:sz w:val="24"/>
          <w:szCs w:val="24"/>
          <w:lang w:val="en-GB"/>
        </w:rPr>
        <w:t xml:space="preserve"> Pharma and received grant support from </w:t>
      </w:r>
      <w:proofErr w:type="spellStart"/>
      <w:r w:rsidRPr="001F0DCE">
        <w:rPr>
          <w:rFonts w:ascii="Times New Roman" w:hAnsi="Times New Roman" w:cs="Times New Roman"/>
          <w:sz w:val="24"/>
          <w:szCs w:val="24"/>
          <w:lang w:val="en-GB"/>
        </w:rPr>
        <w:t>Tillotts</w:t>
      </w:r>
      <w:proofErr w:type="spellEnd"/>
      <w:r w:rsidRPr="001F0DCE">
        <w:rPr>
          <w:rFonts w:ascii="Times New Roman" w:hAnsi="Times New Roman" w:cs="Times New Roman"/>
          <w:sz w:val="24"/>
          <w:szCs w:val="24"/>
          <w:lang w:val="en-GB"/>
        </w:rPr>
        <w:t xml:space="preserve"> Pharma and Takeda.</w:t>
      </w:r>
    </w:p>
    <w:p w:rsidR="001A5F20" w:rsidRDefault="007B0710" w:rsidP="001A5F20">
      <w:pPr>
        <w:ind w:left="0" w:firstLine="0"/>
        <w:rPr>
          <w:rFonts w:ascii="Times New Roman" w:hAnsi="Times New Roman" w:cs="Times New Roman"/>
          <w:sz w:val="24"/>
          <w:szCs w:val="24"/>
          <w:lang w:val="en-GB"/>
        </w:rPr>
      </w:pPr>
      <w:r w:rsidRPr="00E62F01">
        <w:rPr>
          <w:rFonts w:ascii="Times New Roman" w:hAnsi="Times New Roman" w:cs="Times New Roman"/>
          <w:sz w:val="24"/>
          <w:szCs w:val="24"/>
          <w:lang w:val="en-GB"/>
        </w:rPr>
        <w:t xml:space="preserve">SA served as a member for </w:t>
      </w:r>
      <w:proofErr w:type="gramStart"/>
      <w:r w:rsidRPr="00E62F01">
        <w:rPr>
          <w:rFonts w:ascii="Times New Roman" w:hAnsi="Times New Roman" w:cs="Times New Roman"/>
          <w:sz w:val="24"/>
          <w:szCs w:val="24"/>
          <w:lang w:val="en-GB"/>
        </w:rPr>
        <w:t>Scientific</w:t>
      </w:r>
      <w:proofErr w:type="gramEnd"/>
      <w:r w:rsidRPr="00E62F01">
        <w:rPr>
          <w:rFonts w:ascii="Times New Roman" w:hAnsi="Times New Roman" w:cs="Times New Roman"/>
          <w:sz w:val="24"/>
          <w:szCs w:val="24"/>
          <w:lang w:val="en-GB"/>
        </w:rPr>
        <w:t xml:space="preserve"> committee/Advisory board of, Janssen, </w:t>
      </w:r>
      <w:proofErr w:type="spellStart"/>
      <w:r w:rsidRPr="00E62F01">
        <w:rPr>
          <w:rFonts w:ascii="Times New Roman" w:hAnsi="Times New Roman" w:cs="Times New Roman"/>
          <w:sz w:val="24"/>
          <w:szCs w:val="24"/>
          <w:lang w:val="en-GB"/>
        </w:rPr>
        <w:t>Pharmacosmos</w:t>
      </w:r>
      <w:proofErr w:type="spellEnd"/>
      <w:r w:rsidRPr="00E62F01">
        <w:rPr>
          <w:rFonts w:ascii="Times New Roman" w:hAnsi="Times New Roman" w:cs="Times New Roman"/>
          <w:sz w:val="24"/>
          <w:szCs w:val="24"/>
          <w:lang w:val="en-GB"/>
        </w:rPr>
        <w:t xml:space="preserve">, Takeda, as a consultant for Janssen, </w:t>
      </w:r>
      <w:proofErr w:type="spellStart"/>
      <w:r w:rsidRPr="00E62F01">
        <w:rPr>
          <w:rFonts w:ascii="Times New Roman" w:hAnsi="Times New Roman" w:cs="Times New Roman"/>
          <w:sz w:val="24"/>
          <w:szCs w:val="24"/>
          <w:lang w:val="en-GB"/>
        </w:rPr>
        <w:t>OrionPharma</w:t>
      </w:r>
      <w:proofErr w:type="spellEnd"/>
      <w:r w:rsidRPr="00E62F01">
        <w:rPr>
          <w:rFonts w:ascii="Times New Roman" w:hAnsi="Times New Roman" w:cs="Times New Roman"/>
          <w:sz w:val="24"/>
          <w:szCs w:val="24"/>
          <w:lang w:val="en-GB"/>
        </w:rPr>
        <w:t xml:space="preserve">, Takeda, and as a speaker: Galapagos, Janssen, </w:t>
      </w:r>
      <w:proofErr w:type="spellStart"/>
      <w:r w:rsidRPr="00E62F01">
        <w:rPr>
          <w:rFonts w:ascii="Times New Roman" w:hAnsi="Times New Roman" w:cs="Times New Roman"/>
          <w:sz w:val="24"/>
          <w:szCs w:val="24"/>
          <w:lang w:val="en-GB"/>
        </w:rPr>
        <w:t>Tillotts</w:t>
      </w:r>
      <w:proofErr w:type="spellEnd"/>
      <w:r w:rsidRPr="00E62F01">
        <w:rPr>
          <w:rFonts w:ascii="Times New Roman" w:hAnsi="Times New Roman" w:cs="Times New Roman"/>
          <w:sz w:val="24"/>
          <w:szCs w:val="24"/>
          <w:lang w:val="en-GB"/>
        </w:rPr>
        <w:t xml:space="preserve">, received research grants from Janssen and </w:t>
      </w:r>
      <w:proofErr w:type="spellStart"/>
      <w:r w:rsidRPr="00E62F01">
        <w:rPr>
          <w:rFonts w:ascii="Times New Roman" w:hAnsi="Times New Roman" w:cs="Times New Roman"/>
          <w:sz w:val="24"/>
          <w:szCs w:val="24"/>
          <w:lang w:val="en-GB"/>
        </w:rPr>
        <w:t>OrionPharma</w:t>
      </w:r>
      <w:proofErr w:type="spellEnd"/>
      <w:r w:rsidRPr="00E62F01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1A5F20" w:rsidRPr="001A5F2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1A5F20" w:rsidRPr="001F0DCE" w:rsidRDefault="001A5F20" w:rsidP="001A5F20">
      <w:pPr>
        <w:ind w:left="0" w:firstLine="0"/>
        <w:rPr>
          <w:rFonts w:ascii="Times New Roman" w:hAnsi="Times New Roman" w:cs="Times New Roman"/>
          <w:sz w:val="24"/>
          <w:szCs w:val="24"/>
          <w:lang w:val="en-GB"/>
        </w:rPr>
      </w:pPr>
      <w:r w:rsidRPr="001A5F20">
        <w:rPr>
          <w:rFonts w:ascii="Times New Roman" w:hAnsi="Times New Roman" w:cs="Times New Roman"/>
          <w:sz w:val="24"/>
          <w:szCs w:val="24"/>
          <w:lang w:val="en-GB"/>
        </w:rPr>
        <w:t>These entities had no role in the design, execution, interpretation, or communication of the results of the study</w:t>
      </w:r>
    </w:p>
    <w:p w:rsidR="007B0710" w:rsidRPr="001F0DCE" w:rsidRDefault="007B0710" w:rsidP="007B0710">
      <w:pPr>
        <w:ind w:left="0" w:firstLine="0"/>
        <w:rPr>
          <w:rFonts w:ascii="Times New Roman" w:hAnsi="Times New Roman" w:cs="Times New Roman"/>
          <w:sz w:val="24"/>
          <w:szCs w:val="24"/>
          <w:lang w:val="en-GB"/>
        </w:rPr>
      </w:pPr>
      <w:r w:rsidRPr="001F0DCE">
        <w:rPr>
          <w:rFonts w:ascii="Times New Roman" w:hAnsi="Times New Roman" w:cs="Times New Roman"/>
          <w:sz w:val="24"/>
          <w:szCs w:val="24"/>
          <w:lang w:val="en-GB"/>
        </w:rPr>
        <w:t>The other authors declare no conflicts of interest</w:t>
      </w:r>
    </w:p>
    <w:sectPr w:rsidR="007B0710" w:rsidRPr="001F0DCE">
      <w:pgSz w:w="11900" w:h="16840"/>
      <w:pgMar w:top="1440" w:right="1531" w:bottom="1440" w:left="150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FAC"/>
    <w:rsid w:val="00044BEA"/>
    <w:rsid w:val="0014421F"/>
    <w:rsid w:val="001A5F20"/>
    <w:rsid w:val="001B435B"/>
    <w:rsid w:val="001F0DCE"/>
    <w:rsid w:val="0020194D"/>
    <w:rsid w:val="002C0B6E"/>
    <w:rsid w:val="004D5FB3"/>
    <w:rsid w:val="004F4B9F"/>
    <w:rsid w:val="005A49B1"/>
    <w:rsid w:val="007B0710"/>
    <w:rsid w:val="00A57FAC"/>
    <w:rsid w:val="00AD476B"/>
    <w:rsid w:val="00B325F5"/>
    <w:rsid w:val="00B86C5C"/>
    <w:rsid w:val="00BA5EF4"/>
    <w:rsid w:val="00C304A0"/>
    <w:rsid w:val="00D17D35"/>
    <w:rsid w:val="00D36B83"/>
    <w:rsid w:val="00D87D53"/>
    <w:rsid w:val="00E62F01"/>
    <w:rsid w:val="00FE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D6F1A"/>
  <w15:docId w15:val="{9DB127F2-B29C-4759-8C09-B8C369340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265" w:lineRule="auto"/>
      <w:ind w:left="10" w:hanging="10"/>
    </w:pPr>
    <w:rPr>
      <w:rFonts w:ascii="Calibri" w:eastAsia="Calibri" w:hAnsi="Calibri" w:cs="Calibri"/>
      <w:color w:val="000000"/>
      <w:sz w:val="19"/>
    </w:rPr>
  </w:style>
  <w:style w:type="paragraph" w:styleId="Rubrik1">
    <w:name w:val="heading 1"/>
    <w:next w:val="Normal"/>
    <w:link w:val="Rubrik1Char"/>
    <w:uiPriority w:val="9"/>
    <w:unhideWhenUsed/>
    <w:qFormat/>
    <w:pPr>
      <w:keepNext/>
      <w:keepLines/>
      <w:spacing w:after="46"/>
      <w:ind w:left="10" w:hanging="10"/>
      <w:outlineLvl w:val="0"/>
    </w:pPr>
    <w:rPr>
      <w:rFonts w:ascii="Calibri" w:eastAsia="Calibri" w:hAnsi="Calibri" w:cs="Calibri"/>
      <w:b/>
      <w:color w:val="000000"/>
      <w:sz w:val="16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A49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Pr>
      <w:rFonts w:ascii="Calibri" w:eastAsia="Calibri" w:hAnsi="Calibri" w:cs="Calibri"/>
      <w:b/>
      <w:color w:val="000000"/>
      <w:sz w:val="16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A49B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b">
    <w:name w:val="Normal (Web)"/>
    <w:basedOn w:val="Normal"/>
    <w:uiPriority w:val="99"/>
    <w:semiHidden/>
    <w:unhideWhenUsed/>
    <w:rsid w:val="004D5FB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676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Preview</vt:lpstr>
    </vt:vector>
  </TitlesOfParts>
  <Company>Region Jönköpings län</Company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Preview</dc:title>
  <dc:subject/>
  <dc:creator>Haglund Sofie</dc:creator>
  <cp:keywords/>
  <cp:lastModifiedBy>Haglund Sofie</cp:lastModifiedBy>
  <cp:revision>3</cp:revision>
  <dcterms:created xsi:type="dcterms:W3CDTF">2025-11-25T15:43:00Z</dcterms:created>
  <dcterms:modified xsi:type="dcterms:W3CDTF">2025-11-25T15:45:00Z</dcterms:modified>
</cp:coreProperties>
</file>